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5146E4" w:rsidR="00192852" w:rsidP="774286B9" w:rsidRDefault="006E3B6A" w14:paraId="7FDFEB17" w14:textId="7BD7C92D">
      <w:pPr>
        <w:pStyle w:val="berschrift1"/>
        <w:spacing w:before="100" w:beforeAutospacing="on"/>
        <w:ind w:left="431" w:hanging="431"/>
        <w:rPr>
          <w:rFonts w:ascii="Calibri" w:hAnsi="Calibri" w:cs="Calibri" w:asciiTheme="minorAscii" w:hAnsiTheme="minorAscii" w:cstheme="minorAscii"/>
          <w:sz w:val="30"/>
          <w:szCs w:val="30"/>
          <w:u w:val="single"/>
        </w:rPr>
      </w:pPr>
      <w:bookmarkStart w:name="_GoBack" w:id="0"/>
      <w:r w:rsidRPr="774286B9" w:rsidR="774286B9">
        <w:rPr>
          <w:rFonts w:ascii="Calibri" w:hAnsi="Calibri" w:cs="Calibri" w:asciiTheme="minorAscii" w:hAnsiTheme="minorAscii" w:cstheme="minorAscii"/>
          <w:sz w:val="30"/>
          <w:szCs w:val="30"/>
        </w:rPr>
        <w:t>8. How do we increase transparency and trust?</w:t>
      </w:r>
      <w:r>
        <w:br/>
      </w:r>
    </w:p>
    <w:bookmarkEnd w:id="0"/>
    <w:p w:rsidRPr="00A53A1E" w:rsidR="00192852" w:rsidP="774286B9" w:rsidRDefault="00192852" w14:paraId="4C4AD9B9" w14:textId="2F23A9AD">
      <w:pPr>
        <w:rPr>
          <w:rFonts w:ascii="Calibri" w:hAnsi="Calibri" w:cs="Calibri" w:asciiTheme="minorAscii" w:hAnsiTheme="minorAscii" w:cstheme="minorAscii"/>
        </w:rPr>
      </w:pP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Why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it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useful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address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  <w:u w:val="single"/>
        </w:rPr>
        <w:t xml:space="preserve"> transparency and trust?</w:t>
      </w:r>
    </w:p>
    <w:p w:rsidR="774286B9" w:rsidP="774286B9" w:rsidRDefault="774286B9" w14:paraId="3B729FD9" w14:textId="0D1CC5EF">
      <w:pPr>
        <w:pStyle w:val="Standard"/>
        <w:rPr>
          <w:rFonts w:ascii="Calibri" w:hAnsi="Calibri" w:cs="Calibri" w:asciiTheme="minorAscii" w:hAnsiTheme="minorAscii" w:cstheme="minorAscii"/>
        </w:rPr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characteristic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quality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relationship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also an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economic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factor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more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economical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efficient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without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it. 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exists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initially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advance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doing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anything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about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it. However, it can grown and shrink and is not immune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effects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operations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people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business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 </w:t>
      </w:r>
    </w:p>
    <w:p w:rsidR="774286B9" w:rsidP="774286B9" w:rsidRDefault="774286B9" w14:paraId="37E99FEE" w14:textId="0BE65BDB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</w:p>
    <w:p w:rsidR="774286B9" w:rsidP="774286B9" w:rsidRDefault="774286B9" w14:paraId="5B99B5E1" w14:textId="672DC2A8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created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good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performance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commitment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but also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creating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transparency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about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all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areas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responsibility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dealing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essential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questions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areas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a timely and effective manner. </w:t>
      </w:r>
    </w:p>
    <w:p w:rsidR="774286B9" w:rsidP="774286B9" w:rsidRDefault="774286B9" w14:paraId="7FB3CD3B" w14:textId="4D861962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</w:p>
    <w:p w:rsidR="774286B9" w:rsidP="774286B9" w:rsidRDefault="774286B9" w14:paraId="432DD378" w14:textId="080B2FC0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grows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rhythm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setting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agreements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reviewing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has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been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achieved, which saves energy, time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resources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Trust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disappears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"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itself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"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relationships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not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cultivated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The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culture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dealing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conflicts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also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central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theme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builds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reduces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>.</w:t>
      </w:r>
    </w:p>
    <w:p w:rsidRPr="00A53A1E" w:rsidR="00F426C2" w:rsidRDefault="00F426C2" w14:paraId="35D65641" w14:textId="77777777">
      <w:pPr>
        <w:rPr>
          <w:rFonts w:asciiTheme="minorHAnsi" w:hAnsiTheme="minorHAnsi" w:cstheme="minorHAnsi"/>
        </w:rPr>
      </w:pPr>
    </w:p>
    <w:p w:rsidR="774286B9" w:rsidP="774286B9" w:rsidRDefault="774286B9" w14:paraId="21745ED1" w14:textId="1D5ABCAC">
      <w:pPr>
        <w:pStyle w:val="Standard"/>
        <w:rPr>
          <w:rFonts w:ascii="Calibri" w:hAnsi="Calibri" w:cs="Calibri" w:asciiTheme="minorAscii" w:hAnsiTheme="minorAscii" w:cstheme="minorAscii"/>
        </w:rPr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The creation of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process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requires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perseverance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from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everyone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r w:rsidRPr="774286B9" w:rsidR="774286B9">
        <w:rPr>
          <w:rFonts w:ascii="Calibri" w:hAnsi="Calibri" w:cs="Calibri" w:asciiTheme="minorAscii" w:hAnsiTheme="minorAscii" w:cstheme="minorAscii"/>
        </w:rPr>
        <w:t>involved</w:t>
      </w:r>
      <w:r w:rsidRPr="774286B9" w:rsidR="774286B9">
        <w:rPr>
          <w:rFonts w:ascii="Calibri" w:hAnsi="Calibri" w:cs="Calibri" w:asciiTheme="minorAscii" w:hAnsiTheme="minorAscii" w:cstheme="minorAscii"/>
        </w:rPr>
        <w:t xml:space="preserve">. If mutual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lacking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usually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due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fundamental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ambiguity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one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previous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sections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The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loss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creeping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process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often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unnoticed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for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long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time. </w:t>
      </w:r>
    </w:p>
    <w:p w:rsidRPr="00A53A1E" w:rsidR="00192852" w:rsidRDefault="00192852" w14:paraId="5ECE4AF9" w14:textId="2AD23F79">
      <w:pPr>
        <w:rPr>
          <w:rFonts w:asciiTheme="minorHAnsi" w:hAnsiTheme="minorHAnsi" w:cstheme="minorHAnsi"/>
          <w:u w:val="single"/>
        </w:rPr>
      </w:pPr>
    </w:p>
    <w:p w:rsidRPr="00A53A1E" w:rsidR="00192852" w:rsidP="774286B9" w:rsidRDefault="00E35494" w14:paraId="2B1F2074" w14:textId="4C736B35">
      <w:pPr>
        <w:rPr>
          <w:rFonts w:ascii="Calibri" w:hAnsi="Calibri" w:cs="Calibri" w:asciiTheme="minorAscii" w:hAnsiTheme="minorAscii" w:cstheme="minorAscii"/>
        </w:rPr>
      </w:pPr>
      <w:r w:rsidRPr="774286B9" w:rsidR="774286B9">
        <w:rPr>
          <w:rFonts w:ascii="Calibri" w:hAnsi="Calibri" w:cs="Calibri" w:asciiTheme="minorAscii" w:hAnsiTheme="minorAscii" w:cstheme="minorAscii"/>
          <w:u w:val="single"/>
        </w:rPr>
        <w:t>Work steps</w:t>
      </w:r>
    </w:p>
    <w:p w:rsidR="774286B9" w:rsidP="774286B9" w:rsidRDefault="774286B9" w14:paraId="29D7B8A5" w14:textId="137C6E89">
      <w:pPr>
        <w:pStyle w:val="Standard"/>
        <w:rPr>
          <w:rFonts w:ascii="Calibri" w:hAnsi="Calibri" w:cs="Calibri" w:asciiTheme="minorAscii" w:hAnsiTheme="minorAscii" w:cstheme="minorAscii"/>
        </w:rPr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We recommend that the cooperation partners work together, but also individually, on the following questions. </w:t>
      </w:r>
    </w:p>
    <w:p w:rsidR="774286B9" w:rsidP="774286B9" w:rsidRDefault="774286B9" w14:paraId="6E3CBA2E" w14:textId="2A1F00CF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  </w:t>
      </w:r>
    </w:p>
    <w:p w:rsidR="774286B9" w:rsidP="774286B9" w:rsidRDefault="774286B9" w14:paraId="13625BCE" w14:textId="42AEFC9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Do all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participants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understand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agree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our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mission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statement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our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strategy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our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tasks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skills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abilities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planning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controls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can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results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presented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third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party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? </w:t>
      </w:r>
    </w:p>
    <w:p w:rsidR="774286B9" w:rsidP="774286B9" w:rsidRDefault="774286B9" w14:paraId="6F9B9BA7" w14:textId="2E8381D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Has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enough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awareness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appreciation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developed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now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noticeable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"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quality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warmth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good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feeling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"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among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? </w:t>
      </w:r>
    </w:p>
    <w:p w:rsidR="774286B9" w:rsidP="774286B9" w:rsidRDefault="774286B9" w14:paraId="35208D50" w14:textId="0B819672">
      <w:pPr>
        <w:pStyle w:val="Standard"/>
        <w:ind w:left="0"/>
        <w:rPr>
          <w:rFonts w:ascii="Calibri" w:hAnsi="Calibri" w:cs="Calibri" w:asciiTheme="minorAscii" w:hAnsiTheme="minorAscii" w:cstheme="minorAscii"/>
        </w:rPr>
      </w:pPr>
    </w:p>
    <w:p w:rsidR="774286B9" w:rsidP="774286B9" w:rsidRDefault="774286B9" w14:paraId="0FC37E84" w14:textId="7998DD9F">
      <w:pPr>
        <w:pStyle w:val="Standard"/>
        <w:ind w:left="0"/>
        <w:rPr>
          <w:rFonts w:ascii="Calibri" w:hAnsi="Calibri" w:cs="Calibri" w:asciiTheme="minorAscii" w:hAnsiTheme="minorAscii" w:cstheme="minorAscii"/>
        </w:rPr>
      </w:pP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From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our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understanding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how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developed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important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culture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built, among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other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things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through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transparency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e.g.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through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good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balance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sheet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understood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everyone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</w:t>
      </w:r>
    </w:p>
    <w:p w:rsidR="774286B9" w:rsidP="774286B9" w:rsidRDefault="774286B9" w14:paraId="71E8FD44" w14:textId="36361ECF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</w:p>
    <w:p w:rsidR="774286B9" w:rsidP="774286B9" w:rsidRDefault="774286B9" w14:paraId="2FBFDC72" w14:textId="7C6451C1">
      <w:pPr>
        <w:pStyle w:val="Standard"/>
        <w:rPr>
          <w:rFonts w:ascii="Calibri" w:hAnsi="Calibri" w:cs="Calibri" w:asciiTheme="minorAscii" w:hAnsiTheme="minorAscii" w:cstheme="minorAscii"/>
        </w:rPr>
      </w:pP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not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noticeable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“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quality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warmth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good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feeling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,”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probably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because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trust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did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not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develop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sufficient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quality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. This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could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occurr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because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preliminary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work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did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not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go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deeply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enough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fast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must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now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be deepened. </w:t>
      </w:r>
    </w:p>
    <w:p w:rsidR="774286B9" w:rsidP="774286B9" w:rsidRDefault="774286B9" w14:paraId="0EEF88E1" w14:textId="2EF48C40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</w:p>
    <w:p w:rsidR="774286B9" w:rsidP="774286B9" w:rsidRDefault="774286B9" w14:paraId="30983A7B" w14:textId="749D275E">
      <w:pPr>
        <w:pStyle w:val="Standard"/>
      </w:pPr>
      <w:r w:rsidRPr="774286B9" w:rsidR="774286B9">
        <w:rPr>
          <w:rFonts w:ascii="Calibri" w:hAnsi="Calibri" w:cs="Calibri" w:asciiTheme="minorAscii" w:hAnsiTheme="minorAscii" w:cstheme="minorAscii"/>
        </w:rPr>
        <w:t xml:space="preserve">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view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next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step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which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concerns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contracts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agreements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each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individual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involved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may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ask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themselves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whether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he/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has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so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enough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confidence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project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and in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other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people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involved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he/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willing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commit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themsleves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by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signing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a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contract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agreement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enterprise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future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of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community, and to an annual budget. </w:t>
      </w:r>
    </w:p>
    <w:p w:rsidR="774286B9" w:rsidP="774286B9" w:rsidRDefault="774286B9" w14:paraId="5896EE74" w14:textId="076B0AC8">
      <w:pPr>
        <w:pStyle w:val="Standard"/>
      </w:pP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If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the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answer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is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no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what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else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r w:rsidRPr="774286B9" w:rsidR="774286B9">
        <w:rPr>
          <w:rFonts w:ascii="Calibri" w:hAnsi="Calibri" w:cs="Calibri" w:asciiTheme="minorAscii" w:hAnsiTheme="minorAscii" w:cstheme="minorAscii"/>
        </w:rPr>
        <w:t xml:space="preserve">needs </w:t>
      </w:r>
      <w:r w:rsidRPr="774286B9" w:rsidR="774286B9">
        <w:rPr>
          <w:rFonts w:ascii="Calibri" w:hAnsi="Calibri" w:cs="Calibri" w:asciiTheme="minorAscii" w:hAnsiTheme="minorAscii" w:cstheme="minorAscii"/>
        </w:rPr>
        <w:t>to</w:t>
      </w:r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be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74286B9" w:rsidR="774286B9">
        <w:rPr>
          <w:rFonts w:ascii="Calibri" w:hAnsi="Calibri" w:cs="Calibri" w:asciiTheme="minorAscii" w:hAnsiTheme="minorAscii" w:cstheme="minorAscii"/>
        </w:rPr>
        <w:t>done</w:t>
      </w:r>
      <w:proofErr w:type="spellEnd"/>
      <w:r w:rsidRPr="774286B9" w:rsidR="774286B9">
        <w:rPr>
          <w:rFonts w:ascii="Calibri" w:hAnsi="Calibri" w:cs="Calibri" w:asciiTheme="minorAscii" w:hAnsiTheme="minorAscii" w:cstheme="minorAscii"/>
        </w:rPr>
        <w:t>?</w:t>
      </w:r>
    </w:p>
    <w:p w:rsidRPr="00A53A1E" w:rsidR="00192852" w:rsidRDefault="00192852" w14:paraId="572000A9" w14:textId="77777777">
      <w:pPr>
        <w:rPr>
          <w:rFonts w:asciiTheme="minorHAnsi" w:hAnsiTheme="minorHAnsi" w:cstheme="minorHAnsi"/>
        </w:rPr>
      </w:pPr>
    </w:p>
    <w:p w:rsidRPr="00A53A1E" w:rsidR="00192852" w:rsidRDefault="00192852" w14:paraId="01C630AF" w14:textId="77777777">
      <w:pPr>
        <w:rPr>
          <w:rFonts w:asciiTheme="minorHAnsi" w:hAnsiTheme="minorHAnsi" w:cstheme="minorHAnsi"/>
        </w:rPr>
      </w:pPr>
    </w:p>
    <w:p w:rsidRPr="00A53A1E" w:rsidR="00192852" w:rsidRDefault="00192852" w14:paraId="2B466285" w14:textId="77777777">
      <w:pPr>
        <w:rPr>
          <w:rFonts w:asciiTheme="minorHAnsi" w:hAnsiTheme="minorHAnsi" w:cstheme="minorHAnsi"/>
        </w:rPr>
      </w:pPr>
    </w:p>
    <w:sectPr w:rsidRPr="00A53A1E" w:rsidR="00192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65" w:rsidP="007024F5" w:rsidRDefault="00F83165" w14:paraId="4293E2F2" w14:textId="77777777">
      <w:r>
        <w:separator/>
      </w:r>
    </w:p>
  </w:endnote>
  <w:endnote w:type="continuationSeparator" w:id="0">
    <w:p w:rsidR="00F83165" w:rsidP="007024F5" w:rsidRDefault="00F83165" w14:paraId="56DB8914" w14:textId="77777777">
      <w:r>
        <w:continuationSeparator/>
      </w:r>
    </w:p>
  </w:endnote>
  <w:endnote w:type="continuationNotice" w:id="1">
    <w:p w:rsidR="00F83165" w:rsidRDefault="00F83165" w14:paraId="4A8EA0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3F58E876" w14:textId="77777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73075E22" w14:textId="777777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5ED55D1A" w14:textId="77777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65" w:rsidP="007024F5" w:rsidRDefault="00F83165" w14:paraId="1CE99D9D" w14:textId="77777777">
      <w:r>
        <w:separator/>
      </w:r>
    </w:p>
  </w:footnote>
  <w:footnote w:type="continuationSeparator" w:id="0">
    <w:p w:rsidR="00F83165" w:rsidP="007024F5" w:rsidRDefault="00F83165" w14:paraId="296E30EA" w14:textId="77777777">
      <w:r>
        <w:continuationSeparator/>
      </w:r>
    </w:p>
  </w:footnote>
  <w:footnote w:type="continuationNotice" w:id="1">
    <w:p w:rsidR="00F83165" w:rsidRDefault="00F83165" w14:paraId="48E34CE7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463E63F5" w14:textId="77777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692B8BF3" w14:textId="77777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5" w:rsidRDefault="007024F5" w14:paraId="02822A33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5"/>
    <w:rsid w:val="00047156"/>
    <w:rsid w:val="00111388"/>
    <w:rsid w:val="00192852"/>
    <w:rsid w:val="00216E35"/>
    <w:rsid w:val="00350A85"/>
    <w:rsid w:val="00375B31"/>
    <w:rsid w:val="00435689"/>
    <w:rsid w:val="005146E4"/>
    <w:rsid w:val="00535F3C"/>
    <w:rsid w:val="006609D3"/>
    <w:rsid w:val="006E3B6A"/>
    <w:rsid w:val="007024F5"/>
    <w:rsid w:val="00726AC7"/>
    <w:rsid w:val="008165A0"/>
    <w:rsid w:val="008541BC"/>
    <w:rsid w:val="00A53A1E"/>
    <w:rsid w:val="00BA45F5"/>
    <w:rsid w:val="00C3523F"/>
    <w:rsid w:val="00E35494"/>
    <w:rsid w:val="00EC7B0E"/>
    <w:rsid w:val="00F426C2"/>
    <w:rsid w:val="00F83165"/>
    <w:rsid w:val="00F84C1D"/>
    <w:rsid w:val="6FACB6BE"/>
    <w:rsid w:val="77428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D971F6"/>
  <w15:chartTrackingRefBased/>
  <w15:docId w15:val="{7697B237-8584-4845-B415-8A607ADF2E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8165A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165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Absatz-Standardschriftart2" w:customStyle="1">
    <w:name w:val="Absatz-Standardschriftart2"/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0" w:customStyle="1">
    <w:name w:val="WW8Num6z0"/>
    <w:rPr>
      <w:rFonts w:hint="default" w:ascii="Symbol" w:hAnsi="Symbol" w:cs="Symbol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Absatz-Standardschriftart1" w:customStyle="1">
    <w:name w:val="Absatz-Standardschriftart1"/>
  </w:style>
  <w:style w:type="character" w:styleId="Kommentarzeichen1" w:customStyle="1">
    <w:name w:val="Kommentarzeichen1"/>
    <w:rPr>
      <w:sz w:val="16"/>
      <w:szCs w:val="16"/>
    </w:rPr>
  </w:style>
  <w:style w:type="character" w:styleId="KommentartextZchn" w:customStyle="1">
    <w:name w:val="Kommentartext Zchn"/>
  </w:style>
  <w:style w:type="character" w:styleId="KommentarthemaZchn" w:customStyle="1">
    <w:name w:val="Kommentarthema Zchn"/>
    <w:rPr>
      <w:b/>
      <w:bCs/>
    </w:rPr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rsid w:val="008165A0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4" w:customStyle="1">
    <w:name w:val="Beschriftung4"/>
    <w:basedOn w:val="Standard"/>
    <w:rsid w:val="008165A0"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3" w:customStyle="1">
    <w:name w:val="Beschriftung3"/>
    <w:basedOn w:val="Standard"/>
    <w:rsid w:val="008165A0"/>
    <w:pPr>
      <w:suppressLineNumbers/>
      <w:spacing w:before="120" w:after="120"/>
    </w:pPr>
    <w:rPr>
      <w:rFonts w:cs="Mangal"/>
      <w:i/>
      <w:iCs/>
    </w:rPr>
  </w:style>
  <w:style w:type="paragraph" w:styleId="Beschriftung2" w:customStyle="1">
    <w:name w:val="Beschriftung2"/>
    <w:basedOn w:val="Standard"/>
    <w:rsid w:val="008165A0"/>
    <w:pPr>
      <w:suppressLineNumbers/>
      <w:spacing w:before="120" w:after="120"/>
    </w:pPr>
    <w:rPr>
      <w:rFonts w:cs="Mangal"/>
      <w:i/>
      <w:iCs/>
    </w:rPr>
  </w:style>
  <w:style w:type="paragraph" w:styleId="Beschriftung1" w:customStyle="1">
    <w:name w:val="Beschriftung1"/>
    <w:basedOn w:val="Standard"/>
    <w:rsid w:val="008165A0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1" w:customStyle="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link w:val="KopfzeileZchn"/>
    <w:rsid w:val="007024F5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rsid w:val="007024F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7024F5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rsid w:val="007024F5"/>
    <w:rPr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8165A0"/>
    <w:rPr>
      <w:sz w:val="24"/>
      <w:szCs w:val="24"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Inhalt Leitbildebene</dc:title>
  <dc:subject/>
  <dc:creator>si</dc:creator>
  <keywords/>
  <lastModifiedBy>Anna Bruen</lastModifiedBy>
  <revision>6</revision>
  <lastPrinted>1899-12-31T23:00:00.0000000Z</lastPrinted>
  <dcterms:created xsi:type="dcterms:W3CDTF">2020-10-21T12:49:00.0000000Z</dcterms:created>
  <dcterms:modified xsi:type="dcterms:W3CDTF">2020-12-14T11:13:43.8852117Z</dcterms:modified>
</coreProperties>
</file>