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3C275" w14:textId="77777777" w:rsidR="00C94D29" w:rsidRDefault="00C94D29" w:rsidP="00C070CD">
      <w:pPr>
        <w:rPr>
          <w:rFonts w:eastAsia="Times New Roman" w:cs="Times New Roman"/>
          <w:b/>
          <w:color w:val="283C46"/>
          <w:sz w:val="32"/>
          <w:szCs w:val="32"/>
          <w:shd w:val="clear" w:color="auto" w:fill="FAF8F7"/>
          <w:lang w:eastAsia="de-DE"/>
        </w:rPr>
      </w:pPr>
      <w:proofErr w:type="spellStart"/>
      <w:r w:rsidRPr="008677FA">
        <w:rPr>
          <w:rFonts w:eastAsia="Times New Roman" w:cs="Times New Roman"/>
          <w:b/>
          <w:color w:val="283C46"/>
          <w:sz w:val="32"/>
          <w:szCs w:val="32"/>
          <w:shd w:val="clear" w:color="auto" w:fill="FAF8F7"/>
          <w:lang w:eastAsia="de-DE"/>
        </w:rPr>
        <w:t>Beitragsordung</w:t>
      </w:r>
      <w:proofErr w:type="spellEnd"/>
      <w:r w:rsidRPr="008677FA">
        <w:rPr>
          <w:rFonts w:eastAsia="Times New Roman" w:cs="Times New Roman"/>
          <w:b/>
          <w:color w:val="283C46"/>
          <w:sz w:val="32"/>
          <w:szCs w:val="32"/>
          <w:shd w:val="clear" w:color="auto" w:fill="FAF8F7"/>
          <w:lang w:eastAsia="de-DE"/>
        </w:rPr>
        <w:t xml:space="preserve"> Xäls</w:t>
      </w:r>
      <w:r w:rsidR="008677FA">
        <w:rPr>
          <w:rFonts w:eastAsia="Times New Roman" w:cs="Times New Roman"/>
          <w:b/>
          <w:color w:val="283C46"/>
          <w:sz w:val="32"/>
          <w:szCs w:val="32"/>
          <w:shd w:val="clear" w:color="auto" w:fill="FAF8F7"/>
          <w:lang w:eastAsia="de-DE"/>
        </w:rPr>
        <w:t xml:space="preserve"> eG</w:t>
      </w:r>
    </w:p>
    <w:p w14:paraId="3CE7F3F2" w14:textId="3A03A12B" w:rsidR="008677FA" w:rsidRPr="00A8627F" w:rsidRDefault="00D87891" w:rsidP="00C070CD">
      <w:pPr>
        <w:rPr>
          <w:rFonts w:eastAsia="Times New Roman" w:cs="Times New Roman"/>
          <w:color w:val="283C46"/>
          <w:shd w:val="clear" w:color="auto" w:fill="FAF8F7"/>
          <w:lang w:eastAsia="de-DE"/>
        </w:rPr>
      </w:pPr>
      <w:r>
        <w:rPr>
          <w:rFonts w:eastAsia="Times New Roman" w:cs="Times New Roman"/>
          <w:color w:val="283C46"/>
          <w:shd w:val="clear" w:color="auto" w:fill="FAF8F7"/>
          <w:lang w:eastAsia="de-DE"/>
        </w:rPr>
        <w:t>Stand</w:t>
      </w:r>
      <w:r w:rsidR="00A8627F" w:rsidRPr="00A8627F">
        <w:rPr>
          <w:rFonts w:eastAsia="Times New Roman" w:cs="Times New Roman"/>
          <w:color w:val="283C46"/>
          <w:shd w:val="clear" w:color="auto" w:fill="FAF8F7"/>
          <w:lang w:eastAsia="de-DE"/>
        </w:rPr>
        <w:t xml:space="preserve"> 03.Okt. 2019</w:t>
      </w:r>
    </w:p>
    <w:p w14:paraId="2986650E" w14:textId="77777777" w:rsidR="00A8627F" w:rsidRPr="008677FA" w:rsidRDefault="00A8627F" w:rsidP="00C070CD">
      <w:pPr>
        <w:rPr>
          <w:rFonts w:eastAsia="Times New Roman" w:cs="Times New Roman"/>
          <w:b/>
          <w:color w:val="283C46"/>
          <w:sz w:val="32"/>
          <w:szCs w:val="32"/>
          <w:shd w:val="clear" w:color="auto" w:fill="FAF8F7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5"/>
        <w:gridCol w:w="2360"/>
        <w:gridCol w:w="2752"/>
        <w:gridCol w:w="2856"/>
        <w:gridCol w:w="2856"/>
      </w:tblGrid>
      <w:tr w:rsidR="008677FA" w:rsidRPr="008677FA" w14:paraId="7C67AFB5" w14:textId="77777777" w:rsidTr="008677FA">
        <w:tc>
          <w:tcPr>
            <w:tcW w:w="3455" w:type="dxa"/>
          </w:tcPr>
          <w:p w14:paraId="23DF9145" w14:textId="77777777" w:rsidR="008677FA" w:rsidRPr="008677FA" w:rsidRDefault="008677FA" w:rsidP="00FA4108">
            <w:pPr>
              <w:rPr>
                <w:rFonts w:eastAsia="Times New Roman" w:cs="Times New Roman"/>
                <w:b/>
                <w:color w:val="283C46"/>
                <w:shd w:val="clear" w:color="auto" w:fill="FAF8F7"/>
                <w:lang w:eastAsia="de-DE"/>
              </w:rPr>
            </w:pPr>
            <w:r w:rsidRPr="008677FA">
              <w:rPr>
                <w:rFonts w:eastAsia="Times New Roman" w:cs="Times New Roman"/>
                <w:b/>
                <w:color w:val="283C46"/>
                <w:shd w:val="clear" w:color="auto" w:fill="FAF8F7"/>
                <w:lang w:eastAsia="de-DE"/>
              </w:rPr>
              <w:t>Mitgliedergruppe</w:t>
            </w:r>
          </w:p>
        </w:tc>
        <w:tc>
          <w:tcPr>
            <w:tcW w:w="2360" w:type="dxa"/>
          </w:tcPr>
          <w:p w14:paraId="52D4CCF9" w14:textId="77777777" w:rsidR="008677FA" w:rsidRPr="008677FA" w:rsidRDefault="008677FA" w:rsidP="00FA4108">
            <w:pPr>
              <w:rPr>
                <w:rFonts w:eastAsia="Times New Roman" w:cs="Times New Roman"/>
                <w:b/>
                <w:color w:val="283C46"/>
                <w:shd w:val="clear" w:color="auto" w:fill="FAF8F7"/>
                <w:lang w:eastAsia="de-DE"/>
              </w:rPr>
            </w:pPr>
            <w:r w:rsidRPr="008677FA">
              <w:rPr>
                <w:rFonts w:eastAsia="Times New Roman" w:cs="Times New Roman"/>
                <w:b/>
                <w:color w:val="283C46"/>
                <w:shd w:val="clear" w:color="auto" w:fill="FAF8F7"/>
                <w:lang w:eastAsia="de-DE"/>
              </w:rPr>
              <w:t>Basisbeitrag 1. Jahr</w:t>
            </w:r>
          </w:p>
        </w:tc>
        <w:tc>
          <w:tcPr>
            <w:tcW w:w="2752" w:type="dxa"/>
          </w:tcPr>
          <w:p w14:paraId="48C83C2E" w14:textId="77777777" w:rsidR="008677FA" w:rsidRPr="008677FA" w:rsidRDefault="008677FA" w:rsidP="00FA4108">
            <w:pPr>
              <w:rPr>
                <w:rFonts w:eastAsia="Times New Roman" w:cs="Times New Roman"/>
                <w:b/>
                <w:color w:val="283C46"/>
                <w:shd w:val="clear" w:color="auto" w:fill="FAF8F7"/>
                <w:lang w:eastAsia="de-DE"/>
              </w:rPr>
            </w:pPr>
            <w:proofErr w:type="spellStart"/>
            <w:r w:rsidRPr="008677FA">
              <w:rPr>
                <w:rFonts w:eastAsia="Times New Roman" w:cs="Times New Roman"/>
                <w:b/>
                <w:color w:val="283C46"/>
                <w:shd w:val="clear" w:color="auto" w:fill="FAF8F7"/>
                <w:lang w:eastAsia="de-DE"/>
              </w:rPr>
              <w:t>Baisibeitrag</w:t>
            </w:r>
            <w:proofErr w:type="spellEnd"/>
            <w:r w:rsidRPr="008677FA">
              <w:rPr>
                <w:rFonts w:eastAsia="Times New Roman" w:cs="Times New Roman"/>
                <w:b/>
                <w:color w:val="283C46"/>
                <w:shd w:val="clear" w:color="auto" w:fill="FAF8F7"/>
                <w:lang w:eastAsia="de-DE"/>
              </w:rPr>
              <w:t xml:space="preserve"> Folgejahre</w:t>
            </w:r>
          </w:p>
        </w:tc>
        <w:tc>
          <w:tcPr>
            <w:tcW w:w="2856" w:type="dxa"/>
          </w:tcPr>
          <w:p w14:paraId="44B994BE" w14:textId="77777777" w:rsidR="008677FA" w:rsidRPr="008677FA" w:rsidRDefault="008677FA" w:rsidP="00FA4108">
            <w:pPr>
              <w:rPr>
                <w:rFonts w:eastAsia="Times New Roman" w:cs="Times New Roman"/>
                <w:b/>
                <w:color w:val="283C46"/>
                <w:shd w:val="clear" w:color="auto" w:fill="FAF8F7"/>
                <w:lang w:eastAsia="de-DE"/>
              </w:rPr>
            </w:pPr>
            <w:r w:rsidRPr="008677FA">
              <w:rPr>
                <w:rFonts w:eastAsia="Times New Roman" w:cs="Times New Roman"/>
                <w:b/>
                <w:color w:val="283C46"/>
                <w:shd w:val="clear" w:color="auto" w:fill="FAF8F7"/>
                <w:lang w:eastAsia="de-DE"/>
              </w:rPr>
              <w:t>Umsatzanteil 1. Jahr</w:t>
            </w:r>
          </w:p>
        </w:tc>
        <w:tc>
          <w:tcPr>
            <w:tcW w:w="2856" w:type="dxa"/>
          </w:tcPr>
          <w:p w14:paraId="1E8C034F" w14:textId="77777777" w:rsidR="008677FA" w:rsidRPr="008677FA" w:rsidRDefault="008677FA" w:rsidP="00FA4108">
            <w:pPr>
              <w:rPr>
                <w:rFonts w:eastAsia="Times New Roman" w:cs="Times New Roman"/>
                <w:b/>
                <w:color w:val="283C46"/>
                <w:shd w:val="clear" w:color="auto" w:fill="FAF8F7"/>
                <w:lang w:eastAsia="de-DE"/>
              </w:rPr>
            </w:pPr>
            <w:r w:rsidRPr="008677FA">
              <w:rPr>
                <w:rFonts w:eastAsia="Times New Roman" w:cs="Times New Roman"/>
                <w:b/>
                <w:color w:val="283C46"/>
                <w:shd w:val="clear" w:color="auto" w:fill="FAF8F7"/>
                <w:lang w:eastAsia="de-DE"/>
              </w:rPr>
              <w:t>Umsatzanteil Folgejahre</w:t>
            </w:r>
          </w:p>
        </w:tc>
      </w:tr>
      <w:tr w:rsidR="00C866A2" w:rsidRPr="008677FA" w14:paraId="024C6891" w14:textId="77777777" w:rsidTr="008677FA">
        <w:trPr>
          <w:trHeight w:val="641"/>
        </w:trPr>
        <w:tc>
          <w:tcPr>
            <w:tcW w:w="3455" w:type="dxa"/>
          </w:tcPr>
          <w:p w14:paraId="30C68E3E" w14:textId="485426F1" w:rsidR="00C866A2" w:rsidRPr="008677FA" w:rsidRDefault="00C866A2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Verbraucher</w:t>
            </w:r>
          </w:p>
        </w:tc>
        <w:tc>
          <w:tcPr>
            <w:tcW w:w="2360" w:type="dxa"/>
          </w:tcPr>
          <w:p w14:paraId="4C4BA190" w14:textId="6634A17F" w:rsidR="00C866A2" w:rsidRPr="008677FA" w:rsidRDefault="00C866A2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100.- €</w:t>
            </w:r>
          </w:p>
        </w:tc>
        <w:tc>
          <w:tcPr>
            <w:tcW w:w="2752" w:type="dxa"/>
          </w:tcPr>
          <w:p w14:paraId="0C81DE44" w14:textId="37BCE8FB" w:rsidR="00C866A2" w:rsidRDefault="00C866A2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100.- €</w:t>
            </w:r>
          </w:p>
        </w:tc>
        <w:tc>
          <w:tcPr>
            <w:tcW w:w="2856" w:type="dxa"/>
          </w:tcPr>
          <w:p w14:paraId="6D389F15" w14:textId="77777777" w:rsidR="00C866A2" w:rsidRPr="008677FA" w:rsidRDefault="00C866A2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</w:p>
        </w:tc>
        <w:tc>
          <w:tcPr>
            <w:tcW w:w="2856" w:type="dxa"/>
          </w:tcPr>
          <w:p w14:paraId="303BD44D" w14:textId="77777777" w:rsidR="00C866A2" w:rsidRPr="008677FA" w:rsidRDefault="00C866A2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</w:p>
        </w:tc>
      </w:tr>
      <w:tr w:rsidR="008677FA" w:rsidRPr="008677FA" w14:paraId="6300F39A" w14:textId="77777777" w:rsidTr="008677FA">
        <w:trPr>
          <w:trHeight w:val="641"/>
        </w:trPr>
        <w:tc>
          <w:tcPr>
            <w:tcW w:w="3455" w:type="dxa"/>
          </w:tcPr>
          <w:p w14:paraId="30CCB3EE" w14:textId="77777777" w:rsidR="008677FA" w:rsidRPr="008677FA" w:rsidRDefault="008677FA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 w:rsidRPr="008677FA"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Bauern und andere Erzeuger</w:t>
            </w:r>
          </w:p>
        </w:tc>
        <w:tc>
          <w:tcPr>
            <w:tcW w:w="2360" w:type="dxa"/>
          </w:tcPr>
          <w:p w14:paraId="381F90FF" w14:textId="77777777" w:rsidR="008677FA" w:rsidRPr="008677FA" w:rsidRDefault="008677FA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 w:rsidRPr="008677FA"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200.- €</w:t>
            </w:r>
          </w:p>
        </w:tc>
        <w:tc>
          <w:tcPr>
            <w:tcW w:w="2752" w:type="dxa"/>
          </w:tcPr>
          <w:p w14:paraId="2E0A50D1" w14:textId="31BE2EA9" w:rsidR="008677FA" w:rsidRPr="008677FA" w:rsidRDefault="00A300E3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1</w:t>
            </w:r>
            <w:r w:rsidR="008677FA" w:rsidRPr="008677FA"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00.- €</w:t>
            </w:r>
          </w:p>
        </w:tc>
        <w:tc>
          <w:tcPr>
            <w:tcW w:w="2856" w:type="dxa"/>
          </w:tcPr>
          <w:p w14:paraId="5CCB3505" w14:textId="77777777" w:rsidR="008677FA" w:rsidRPr="008677FA" w:rsidRDefault="008677FA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 w:rsidRPr="008677FA"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0,1%</w:t>
            </w:r>
          </w:p>
        </w:tc>
        <w:tc>
          <w:tcPr>
            <w:tcW w:w="2856" w:type="dxa"/>
          </w:tcPr>
          <w:p w14:paraId="7ABDEB83" w14:textId="77777777" w:rsidR="008677FA" w:rsidRPr="008677FA" w:rsidRDefault="008677FA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 w:rsidRPr="008677FA"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0,05%</w:t>
            </w:r>
          </w:p>
        </w:tc>
      </w:tr>
      <w:tr w:rsidR="008677FA" w:rsidRPr="008677FA" w14:paraId="7F2A33CA" w14:textId="77777777" w:rsidTr="008677FA">
        <w:tc>
          <w:tcPr>
            <w:tcW w:w="3455" w:type="dxa"/>
          </w:tcPr>
          <w:p w14:paraId="6542C491" w14:textId="77777777" w:rsidR="008677FA" w:rsidRDefault="008677FA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 w:rsidRPr="008677FA"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Verarbeiter</w:t>
            </w:r>
          </w:p>
          <w:p w14:paraId="368E5441" w14:textId="77777777" w:rsidR="00C866A2" w:rsidRPr="008677FA" w:rsidRDefault="00C866A2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</w:p>
        </w:tc>
        <w:tc>
          <w:tcPr>
            <w:tcW w:w="2360" w:type="dxa"/>
          </w:tcPr>
          <w:p w14:paraId="0D431E61" w14:textId="77777777" w:rsidR="008677FA" w:rsidRPr="008677FA" w:rsidRDefault="008677FA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 w:rsidRPr="008677FA"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200.- €</w:t>
            </w:r>
          </w:p>
        </w:tc>
        <w:tc>
          <w:tcPr>
            <w:tcW w:w="2752" w:type="dxa"/>
          </w:tcPr>
          <w:p w14:paraId="62F11DC4" w14:textId="696ED78A" w:rsidR="008677FA" w:rsidRPr="008677FA" w:rsidRDefault="00A300E3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1</w:t>
            </w:r>
            <w:r w:rsidR="008677FA" w:rsidRPr="008677FA"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00.- €</w:t>
            </w:r>
          </w:p>
        </w:tc>
        <w:tc>
          <w:tcPr>
            <w:tcW w:w="2856" w:type="dxa"/>
          </w:tcPr>
          <w:p w14:paraId="570FE0B0" w14:textId="77777777" w:rsidR="008677FA" w:rsidRPr="008677FA" w:rsidRDefault="008677FA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 w:rsidRPr="008677FA"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0,1%</w:t>
            </w:r>
          </w:p>
        </w:tc>
        <w:tc>
          <w:tcPr>
            <w:tcW w:w="2856" w:type="dxa"/>
          </w:tcPr>
          <w:p w14:paraId="172B9CC7" w14:textId="77777777" w:rsidR="008677FA" w:rsidRPr="008677FA" w:rsidRDefault="008677FA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 w:rsidRPr="008677FA"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0,05%</w:t>
            </w:r>
          </w:p>
        </w:tc>
      </w:tr>
      <w:tr w:rsidR="008677FA" w:rsidRPr="008677FA" w14:paraId="388C1006" w14:textId="77777777" w:rsidTr="00C866A2">
        <w:trPr>
          <w:trHeight w:val="236"/>
        </w:trPr>
        <w:tc>
          <w:tcPr>
            <w:tcW w:w="3455" w:type="dxa"/>
          </w:tcPr>
          <w:p w14:paraId="4D7BD148" w14:textId="77777777" w:rsidR="008677FA" w:rsidRDefault="008677FA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 w:rsidRPr="008677FA"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Händler</w:t>
            </w:r>
          </w:p>
          <w:p w14:paraId="1111C0C0" w14:textId="77777777" w:rsidR="00C866A2" w:rsidRPr="008677FA" w:rsidRDefault="00C866A2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</w:p>
        </w:tc>
        <w:tc>
          <w:tcPr>
            <w:tcW w:w="2360" w:type="dxa"/>
          </w:tcPr>
          <w:p w14:paraId="711C3CAB" w14:textId="75EBE3F9" w:rsidR="008677FA" w:rsidRPr="008677FA" w:rsidRDefault="00A300E3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5</w:t>
            </w:r>
            <w:r w:rsidR="008677FA" w:rsidRPr="008677FA"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00.- €</w:t>
            </w:r>
          </w:p>
        </w:tc>
        <w:tc>
          <w:tcPr>
            <w:tcW w:w="2752" w:type="dxa"/>
          </w:tcPr>
          <w:p w14:paraId="635071CB" w14:textId="57ABDFDD" w:rsidR="008677FA" w:rsidRPr="008677FA" w:rsidRDefault="00A300E3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25</w:t>
            </w:r>
            <w:r w:rsidR="008677FA" w:rsidRPr="008677FA"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0.- €</w:t>
            </w:r>
          </w:p>
        </w:tc>
        <w:tc>
          <w:tcPr>
            <w:tcW w:w="2856" w:type="dxa"/>
          </w:tcPr>
          <w:p w14:paraId="202A5463" w14:textId="77777777" w:rsidR="008677FA" w:rsidRPr="008677FA" w:rsidRDefault="008677FA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 w:rsidRPr="008677FA"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0,1%</w:t>
            </w:r>
          </w:p>
        </w:tc>
        <w:tc>
          <w:tcPr>
            <w:tcW w:w="2856" w:type="dxa"/>
          </w:tcPr>
          <w:p w14:paraId="12F41310" w14:textId="77777777" w:rsidR="008677FA" w:rsidRPr="008677FA" w:rsidRDefault="008677FA" w:rsidP="00FA4108">
            <w:pPr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</w:pPr>
            <w:r w:rsidRPr="008677FA">
              <w:rPr>
                <w:rFonts w:eastAsia="Times New Roman" w:cs="Times New Roman"/>
                <w:color w:val="283C46"/>
                <w:shd w:val="clear" w:color="auto" w:fill="FAF8F7"/>
                <w:lang w:eastAsia="de-DE"/>
              </w:rPr>
              <w:t>0,05%</w:t>
            </w:r>
          </w:p>
        </w:tc>
      </w:tr>
    </w:tbl>
    <w:p w14:paraId="704F8D65" w14:textId="04EBEDE8" w:rsidR="008677FA" w:rsidRPr="008677FA" w:rsidRDefault="00C866A2" w:rsidP="00C070CD">
      <w:pPr>
        <w:rPr>
          <w:rFonts w:eastAsia="Times New Roman" w:cs="Times New Roman"/>
          <w:color w:val="283C46"/>
          <w:shd w:val="clear" w:color="auto" w:fill="FAF8F7"/>
          <w:lang w:eastAsia="de-DE"/>
        </w:rPr>
      </w:pPr>
      <w:r>
        <w:rPr>
          <w:rFonts w:eastAsia="Times New Roman" w:cs="Times New Roman"/>
          <w:color w:val="283C46"/>
          <w:shd w:val="clear" w:color="auto" w:fill="FAF8F7"/>
          <w:lang w:eastAsia="de-DE"/>
        </w:rPr>
        <w:t>Bei Verbrauchern: Schüler, Studenten und Geringverdiener können auf Antrag vom Beitrag befreit werden</w:t>
      </w:r>
    </w:p>
    <w:p w14:paraId="3ABAD7B4" w14:textId="77777777" w:rsidR="00252ABA" w:rsidRPr="008677FA" w:rsidRDefault="00252ABA" w:rsidP="00C070CD">
      <w:pPr>
        <w:rPr>
          <w:rFonts w:eastAsia="Times New Roman" w:cs="Times New Roman"/>
          <w:color w:val="283C46"/>
          <w:shd w:val="clear" w:color="auto" w:fill="FAF8F7"/>
          <w:lang w:eastAsia="de-DE"/>
        </w:rPr>
      </w:pPr>
    </w:p>
    <w:p w14:paraId="2CF1DC79" w14:textId="77777777" w:rsidR="008677FA" w:rsidRDefault="008677FA" w:rsidP="00C070CD">
      <w:pPr>
        <w:rPr>
          <w:rFonts w:eastAsia="Times New Roman" w:cs="Times New Roman"/>
          <w:color w:val="283C46"/>
          <w:shd w:val="clear" w:color="auto" w:fill="FAF8F7"/>
          <w:lang w:eastAsia="de-DE"/>
        </w:rPr>
      </w:pPr>
      <w:r>
        <w:rPr>
          <w:rFonts w:eastAsia="Times New Roman" w:cs="Times New Roman"/>
          <w:color w:val="283C46"/>
          <w:shd w:val="clear" w:color="auto" w:fill="FAF8F7"/>
          <w:lang w:eastAsia="de-DE"/>
        </w:rPr>
        <w:t>Herleitung/Erklärung</w:t>
      </w:r>
      <w:r w:rsidR="00C070CD" w:rsidRPr="00C070CD">
        <w:rPr>
          <w:rFonts w:eastAsia="Times New Roman" w:cs="Times New Roman"/>
          <w:color w:val="283C46"/>
          <w:lang w:eastAsia="de-DE"/>
        </w:rPr>
        <w:br/>
      </w:r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 xml:space="preserve">1. </w:t>
      </w:r>
      <w:r>
        <w:rPr>
          <w:rFonts w:eastAsia="Times New Roman" w:cs="Times New Roman"/>
          <w:color w:val="283C46"/>
          <w:shd w:val="clear" w:color="auto" w:fill="FAF8F7"/>
          <w:lang w:eastAsia="de-DE"/>
        </w:rPr>
        <w:t>Der Jahresbeitrag setzt sich aus einem Basisbeitrag und einem Umsatzanteil zusammen</w:t>
      </w:r>
    </w:p>
    <w:p w14:paraId="0A7F201D" w14:textId="50664C67" w:rsidR="001E22C8" w:rsidRPr="009435DE" w:rsidRDefault="008677FA">
      <w:pPr>
        <w:rPr>
          <w:rFonts w:eastAsia="Times New Roman" w:cs="Times New Roman"/>
          <w:color w:val="283C46"/>
          <w:shd w:val="clear" w:color="auto" w:fill="FAF8F7"/>
          <w:lang w:eastAsia="de-DE"/>
        </w:rPr>
      </w:pPr>
      <w:r>
        <w:rPr>
          <w:rFonts w:eastAsia="Times New Roman" w:cs="Times New Roman"/>
          <w:color w:val="283C46"/>
          <w:shd w:val="clear" w:color="auto" w:fill="FAF8F7"/>
          <w:lang w:eastAsia="de-DE"/>
        </w:rPr>
        <w:t xml:space="preserve">2. </w:t>
      </w:r>
      <w:r w:rsidR="00D87891">
        <w:rPr>
          <w:rFonts w:eastAsia="Times New Roman" w:cs="Times New Roman"/>
          <w:color w:val="283C46"/>
          <w:shd w:val="clear" w:color="auto" w:fill="FAF8F7"/>
          <w:lang w:eastAsia="de-DE"/>
        </w:rPr>
        <w:t>Die Genossenschaft</w:t>
      </w:r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 xml:space="preserve"> benötig</w:t>
      </w:r>
      <w:r w:rsidR="00D87891">
        <w:rPr>
          <w:rFonts w:eastAsia="Times New Roman" w:cs="Times New Roman"/>
          <w:color w:val="283C46"/>
          <w:shd w:val="clear" w:color="auto" w:fill="FAF8F7"/>
          <w:lang w:eastAsia="de-DE"/>
        </w:rPr>
        <w:t>t</w:t>
      </w:r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 xml:space="preserve"> v.a. zu Beginn mehr Liquidität, auch für den Fall, dass die </w:t>
      </w:r>
      <w:r w:rsidR="00D87891">
        <w:rPr>
          <w:rFonts w:eastAsia="Times New Roman" w:cs="Times New Roman"/>
          <w:color w:val="283C46"/>
          <w:shd w:val="clear" w:color="auto" w:fill="FAF8F7"/>
          <w:lang w:eastAsia="de-DE"/>
        </w:rPr>
        <w:t>Verbraucher</w:t>
      </w:r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>-</w:t>
      </w:r>
      <w:proofErr w:type="spellStart"/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>Genossenzahl</w:t>
      </w:r>
      <w:proofErr w:type="spellEnd"/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 xml:space="preserve"> sich nicht so schnell entwickelt. Aus diesem Grund in den Folgejahren 50% von Umsatzanteil des Einstiegjahres.</w:t>
      </w:r>
      <w:r w:rsidR="00C070CD" w:rsidRPr="00C070CD">
        <w:rPr>
          <w:rFonts w:eastAsia="Times New Roman" w:cs="Times New Roman"/>
          <w:color w:val="283C46"/>
          <w:lang w:eastAsia="de-DE"/>
        </w:rPr>
        <w:br/>
      </w:r>
      <w:r>
        <w:rPr>
          <w:rFonts w:eastAsia="Times New Roman" w:cs="Times New Roman"/>
          <w:color w:val="283C46"/>
          <w:shd w:val="clear" w:color="auto" w:fill="FAF8F7"/>
          <w:lang w:eastAsia="de-DE"/>
        </w:rPr>
        <w:t>3</w:t>
      </w:r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 xml:space="preserve">. Die Behandlung der Erzeuger (LW/Gärtner </w:t>
      </w:r>
      <w:proofErr w:type="spellStart"/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>ect</w:t>
      </w:r>
      <w:proofErr w:type="spellEnd"/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>) mit einem höheren %-Umsatzanteil als Verarbeiter und Händler ist in den Fällen der Abgrenzung bei Erzeugern mit Gewerbeeinheiten zu kompliziert und bringt auch unter dem Strich nicht viel</w:t>
      </w:r>
      <w:r w:rsidR="00A8627F">
        <w:rPr>
          <w:rFonts w:eastAsia="Times New Roman" w:cs="Times New Roman"/>
          <w:color w:val="283C46"/>
          <w:shd w:val="clear" w:color="auto" w:fill="FAF8F7"/>
          <w:lang w:eastAsia="de-DE"/>
        </w:rPr>
        <w:t xml:space="preserve"> Substanz. Deshalb alle mit dem</w:t>
      </w:r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>selben %-Satz veranschlagen.</w:t>
      </w:r>
      <w:r w:rsidR="00C070CD" w:rsidRPr="008677FA">
        <w:rPr>
          <w:rFonts w:eastAsia="Times New Roman" w:cs="Times New Roman"/>
          <w:color w:val="283C46"/>
          <w:shd w:val="clear" w:color="auto" w:fill="FAF8F7"/>
          <w:lang w:eastAsia="de-DE"/>
        </w:rPr>
        <w:t> </w:t>
      </w:r>
      <w:r w:rsidR="00C070CD" w:rsidRPr="00C070CD">
        <w:rPr>
          <w:rFonts w:eastAsia="Times New Roman" w:cs="Times New Roman"/>
          <w:color w:val="283C46"/>
          <w:lang w:eastAsia="de-DE"/>
        </w:rPr>
        <w:br/>
      </w:r>
      <w:r>
        <w:rPr>
          <w:rFonts w:eastAsia="Times New Roman" w:cs="Times New Roman"/>
          <w:color w:val="283C46"/>
          <w:shd w:val="clear" w:color="auto" w:fill="FAF8F7"/>
          <w:lang w:eastAsia="de-DE"/>
        </w:rPr>
        <w:t>4</w:t>
      </w:r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>. Erzeuger: Umsätze netto, auch bei VK an verbundenes eigenes Gewerbe + alle in den Erzeugerbetrieb einf</w:t>
      </w:r>
      <w:r w:rsidR="00D87891">
        <w:rPr>
          <w:rFonts w:eastAsia="Times New Roman" w:cs="Times New Roman"/>
          <w:color w:val="283C46"/>
          <w:shd w:val="clear" w:color="auto" w:fill="FAF8F7"/>
          <w:lang w:eastAsia="de-DE"/>
        </w:rPr>
        <w:t>l</w:t>
      </w:r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>ie</w:t>
      </w:r>
      <w:r w:rsidR="00D87891">
        <w:rPr>
          <w:rFonts w:eastAsia="Times New Roman" w:cs="Times New Roman"/>
          <w:color w:val="283C46"/>
          <w:shd w:val="clear" w:color="auto" w:fill="FAF8F7"/>
          <w:lang w:eastAsia="de-DE"/>
        </w:rPr>
        <w:t>ß</w:t>
      </w:r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 xml:space="preserve">enden Subventionen (ohne </w:t>
      </w:r>
      <w:proofErr w:type="spellStart"/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>Invest</w:t>
      </w:r>
      <w:proofErr w:type="spellEnd"/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>.-Förderung)</w:t>
      </w:r>
      <w:r w:rsidR="00C070CD" w:rsidRPr="00C070CD">
        <w:rPr>
          <w:rFonts w:eastAsia="Times New Roman" w:cs="Times New Roman"/>
          <w:color w:val="283C46"/>
          <w:lang w:eastAsia="de-DE"/>
        </w:rPr>
        <w:br/>
      </w:r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 xml:space="preserve">4. Erzeuger mit Gewerbe: siehe Pkt.3 + alle Umsätze (netto) in den mit der Erzeugung verbundenen Gewerbeeinheiten (Vertrieb, Hofladen, </w:t>
      </w:r>
      <w:proofErr w:type="spellStart"/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>Cafe</w:t>
      </w:r>
      <w:proofErr w:type="spellEnd"/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>, Biogas, Verarbeitung....)</w:t>
      </w:r>
      <w:r w:rsidR="00C070CD" w:rsidRPr="00C070CD">
        <w:rPr>
          <w:rFonts w:eastAsia="Times New Roman" w:cs="Times New Roman"/>
          <w:color w:val="283C46"/>
          <w:lang w:eastAsia="de-DE"/>
        </w:rPr>
        <w:br/>
      </w:r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>5. Wenn bei Umsatz Erzeugung die Innenumsätze VK an eigenes Gewerbe nicht herau</w:t>
      </w:r>
      <w:r w:rsidR="00D87891">
        <w:rPr>
          <w:rFonts w:eastAsia="Times New Roman" w:cs="Times New Roman"/>
          <w:color w:val="283C46"/>
          <w:shd w:val="clear" w:color="auto" w:fill="FAF8F7"/>
          <w:lang w:eastAsia="de-DE"/>
        </w:rPr>
        <w:t xml:space="preserve">s </w:t>
      </w:r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>gerechnet werden (alter Vorschlag), dann gleicht dies zumindest an Bsp. unseres Betriebes die %-Absenkung/Angleichung wieder aus.</w:t>
      </w:r>
      <w:r w:rsidR="00C070CD" w:rsidRPr="00C070CD">
        <w:rPr>
          <w:rFonts w:eastAsia="Times New Roman" w:cs="Times New Roman"/>
          <w:color w:val="283C46"/>
          <w:lang w:eastAsia="de-DE"/>
        </w:rPr>
        <w:br/>
      </w:r>
      <w:r>
        <w:rPr>
          <w:rFonts w:eastAsia="Times New Roman" w:cs="Times New Roman"/>
          <w:color w:val="283C46"/>
          <w:shd w:val="clear" w:color="auto" w:fill="FAF8F7"/>
          <w:lang w:eastAsia="de-DE"/>
        </w:rPr>
        <w:t>6</w:t>
      </w:r>
      <w:r w:rsidR="00C070CD" w:rsidRPr="00C070CD">
        <w:rPr>
          <w:rFonts w:eastAsia="Times New Roman" w:cs="Times New Roman"/>
          <w:color w:val="283C46"/>
          <w:shd w:val="clear" w:color="auto" w:fill="FAF8F7"/>
          <w:lang w:eastAsia="de-DE"/>
        </w:rPr>
        <w:t>. Wenn Xäls ins Laufen kommt, dann sollten für alle Beitragszahler die Vorteile daraus die Kosten der höheren Umsatzanteile in den Folgejahren mehr als ausgleichen.</w:t>
      </w:r>
      <w:r w:rsidR="00C070CD" w:rsidRPr="008677FA">
        <w:rPr>
          <w:rFonts w:eastAsia="Times New Roman" w:cs="Times New Roman"/>
          <w:color w:val="283C46"/>
          <w:shd w:val="clear" w:color="auto" w:fill="FAF8F7"/>
          <w:lang w:eastAsia="de-DE"/>
        </w:rPr>
        <w:t> </w:t>
      </w:r>
      <w:bookmarkStart w:id="0" w:name="_GoBack"/>
      <w:bookmarkEnd w:id="0"/>
    </w:p>
    <w:sectPr w:rsidR="001E22C8" w:rsidRPr="009435DE" w:rsidSect="00C070CD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6E21F20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4.%5.%7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4.%5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CD"/>
    <w:rsid w:val="000958AC"/>
    <w:rsid w:val="00252ABA"/>
    <w:rsid w:val="002E7643"/>
    <w:rsid w:val="00331D21"/>
    <w:rsid w:val="007864F1"/>
    <w:rsid w:val="008677FA"/>
    <w:rsid w:val="009329BC"/>
    <w:rsid w:val="009435DE"/>
    <w:rsid w:val="00A300E3"/>
    <w:rsid w:val="00A8627F"/>
    <w:rsid w:val="00C070CD"/>
    <w:rsid w:val="00C866A2"/>
    <w:rsid w:val="00C94D29"/>
    <w:rsid w:val="00D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52AF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link w:val="berschrift3Zchn"/>
    <w:qFormat/>
    <w:rsid w:val="009329BC"/>
    <w:pPr>
      <w:widowControl w:val="0"/>
      <w:numPr>
        <w:ilvl w:val="2"/>
        <w:numId w:val="1"/>
      </w:numPr>
      <w:tabs>
        <w:tab w:val="left" w:pos="851"/>
      </w:tabs>
      <w:suppressAutoHyphens/>
      <w:spacing w:before="240" w:after="120"/>
      <w:jc w:val="both"/>
      <w:outlineLvl w:val="2"/>
    </w:pPr>
    <w:rPr>
      <w:rFonts w:eastAsia="Times New Roman" w:cs="Calibri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9329BC"/>
    <w:rPr>
      <w:rFonts w:eastAsia="Times New Roman" w:cs="Calibri"/>
      <w:sz w:val="22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C070CD"/>
  </w:style>
  <w:style w:type="table" w:styleId="Tabellenraster">
    <w:name w:val="Table Grid"/>
    <w:basedOn w:val="NormaleTabelle"/>
    <w:uiPriority w:val="39"/>
    <w:rsid w:val="0086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Stephan Illi</cp:lastModifiedBy>
  <cp:revision>2</cp:revision>
  <dcterms:created xsi:type="dcterms:W3CDTF">2019-12-13T20:30:00Z</dcterms:created>
  <dcterms:modified xsi:type="dcterms:W3CDTF">2019-12-13T20:30:00Z</dcterms:modified>
</cp:coreProperties>
</file>